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A44600" w:rsidP="005F58F4">
      <w:pPr>
        <w:jc w:val="center"/>
        <w:rPr>
          <w:b/>
        </w:rPr>
      </w:pPr>
      <w:r w:rsidRPr="00370734">
        <w:rPr>
          <w:b/>
        </w:rPr>
        <w:t xml:space="preserve">Тендер </w:t>
      </w:r>
      <w:r w:rsidRPr="00A02539">
        <w:rPr>
          <w:b/>
        </w:rPr>
        <w:t>6889-GB</w:t>
      </w:r>
      <w:r w:rsidRPr="00E95B95">
        <w:rPr>
          <w:b/>
        </w:rPr>
        <w:t xml:space="preserve"> </w:t>
      </w:r>
      <w:r w:rsidRPr="0066699D">
        <w:rPr>
          <w:b/>
        </w:rPr>
        <w:t xml:space="preserve">на </w:t>
      </w:r>
      <w:r>
        <w:rPr>
          <w:b/>
        </w:rPr>
        <w:t>поставку</w:t>
      </w:r>
      <w:r w:rsidRPr="00A02539">
        <w:rPr>
          <w:b/>
        </w:rPr>
        <w:t xml:space="preserve"> мебели в Московский офис</w:t>
      </w:r>
      <w:r w:rsidRPr="008147BA">
        <w:rPr>
          <w:b/>
        </w:rPr>
        <w:t xml:space="preserve"> АО «КТК-Р»</w:t>
      </w:r>
      <w:r w:rsidR="00CB0697" w:rsidRPr="00CB0697">
        <w:rPr>
          <w:b/>
        </w:rPr>
        <w:t xml:space="preserve"> АО «КТК-Р»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 w:rsidRPr="00A31076">
              <w:t xml:space="preserve">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Default="009C2812" w:rsidP="009C2812">
            <w:r>
              <w:t>Подтвердите согласие со следующими условиями оплаты по договору:</w:t>
            </w:r>
          </w:p>
          <w:p w:rsidR="005F58F4" w:rsidRPr="005F58F4" w:rsidRDefault="009C2812" w:rsidP="009C2812">
            <w:pPr>
              <w:rPr>
                <w:i/>
              </w:rPr>
            </w:pPr>
            <w:r>
              <w:t>Оплата услуг производится в течение 10 (десяти) рабочих дней с даты предоставления оригинала счета Подрядчиком по факту выполнения поставки при условии подписания Сторонами подтверждающих документов.</w:t>
            </w: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6224C8" w:rsidRDefault="009C2812" w:rsidP="00DD2EB0">
            <w:pPr>
              <w:tabs>
                <w:tab w:val="left" w:pos="1215"/>
              </w:tabs>
            </w:pPr>
            <w:r w:rsidRPr="009C2812">
              <w:t>Подтвердите свою готовност</w:t>
            </w:r>
            <w:r w:rsidR="00DD2EB0">
              <w:t>ь к заключению договора на срок в</w:t>
            </w:r>
            <w:bookmarkStart w:id="0" w:name="_GoBack"/>
            <w:bookmarkEnd w:id="0"/>
            <w:r w:rsidR="00DD2EB0">
              <w:t xml:space="preserve"> 1 год</w:t>
            </w:r>
            <w:r w:rsidRPr="009C2812">
              <w:t xml:space="preserve"> с возможностью дальнейшей пролонгации.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9C2812" w:rsidRDefault="009C2812" w:rsidP="009C2812">
            <w:pPr>
              <w:tabs>
                <w:tab w:val="left" w:pos="1215"/>
              </w:tabs>
            </w:pPr>
            <w:r w:rsidRPr="009C2812">
              <w:t>Подтвердите своё согласие обеспечить ежегодную индексацию общей стоимости договора, начиная со второго года, на уровне инфляции, данные о котором публикуются уполномоченными государственными органами РФ.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DD2EB0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2812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44600"/>
    <w:rsid w:val="00A60D3D"/>
    <w:rsid w:val="00A740F3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B0697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05C0C"/>
    <w:rsid w:val="00D24883"/>
    <w:rsid w:val="00D30277"/>
    <w:rsid w:val="00D310A7"/>
    <w:rsid w:val="00D507DF"/>
    <w:rsid w:val="00D743BF"/>
    <w:rsid w:val="00D74C95"/>
    <w:rsid w:val="00DB4DC0"/>
    <w:rsid w:val="00DD2EB0"/>
    <w:rsid w:val="00DE5370"/>
    <w:rsid w:val="00DF5F48"/>
    <w:rsid w:val="00E12287"/>
    <w:rsid w:val="00E21168"/>
    <w:rsid w:val="00E4229D"/>
    <w:rsid w:val="00E46337"/>
    <w:rsid w:val="00E5540C"/>
    <w:rsid w:val="00E61CB1"/>
    <w:rsid w:val="00E73F56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ACABE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kimv0126</cp:lastModifiedBy>
  <cp:revision>11</cp:revision>
  <dcterms:created xsi:type="dcterms:W3CDTF">2022-04-05T13:13:00Z</dcterms:created>
  <dcterms:modified xsi:type="dcterms:W3CDTF">2025-04-21T12:09:00Z</dcterms:modified>
</cp:coreProperties>
</file>